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35"/>
        <w:contextualSpacing w:val="0"/>
        <w:jc w:val="center"/>
        <w:rPr/>
      </w:pPr>
      <w:r w:rsidDel="00000000" w:rsidR="00000000" w:rsidRPr="00000000">
        <w:rPr>
          <w:b w:val="1"/>
          <w:sz w:val="28"/>
          <w:szCs w:val="28"/>
          <w:rtl w:val="0"/>
        </w:rPr>
        <w:t xml:space="preserve">Your Congregation’s GEO Index</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1">
      <w:pPr>
        <w:ind w:left="135" w:right="6"/>
        <w:contextualSpacing w:val="0"/>
        <w:jc w:val="center"/>
        <w:rPr/>
      </w:pPr>
      <w:r w:rsidDel="00000000" w:rsidR="00000000" w:rsidRPr="00000000">
        <w:rPr>
          <w:b w:val="1"/>
          <w:sz w:val="28"/>
          <w:szCs w:val="28"/>
          <w:rtl w:val="0"/>
        </w:rPr>
        <w:t xml:space="preserve">(effective July 1, 2016) </w:t>
      </w:r>
      <w:r w:rsidDel="00000000" w:rsidR="00000000" w:rsidRPr="00000000">
        <w:rPr>
          <w:rtl w:val="0"/>
        </w:rPr>
      </w:r>
    </w:p>
    <w:p w:rsidR="00000000" w:rsidDel="00000000" w:rsidP="00000000" w:rsidRDefault="00000000" w:rsidRPr="00000000" w14:paraId="00000002">
      <w:pPr>
        <w:ind w:left="174" w:firstLine="0"/>
        <w:contextualSpacing w:val="0"/>
        <w:jc w:val="center"/>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3">
      <w:pPr>
        <w:spacing w:line="360" w:lineRule="auto"/>
        <w:ind w:left="-5"/>
        <w:contextualSpacing w:val="0"/>
        <w:rPr/>
      </w:pPr>
      <w:r w:rsidDel="00000000" w:rsidR="00000000" w:rsidRPr="00000000">
        <w:rPr>
          <w:b w:val="1"/>
          <w:rtl w:val="0"/>
        </w:rPr>
        <w:t xml:space="preserve"> Overview</w:t>
      </w:r>
      <w:r w:rsidDel="00000000" w:rsidR="00000000" w:rsidRPr="00000000">
        <w:rPr>
          <w:rtl w:val="0"/>
        </w:rPr>
        <w:t xml:space="preserve">: The UUA Recommended Salary Ranges are based on wage rates (not the cost-of-living) in communities across the United States and Canada. Wage data in Canada is gathered in Canadian dollars and compared the Canadian national average. The Office of Church Staff Finances assigns one of seven Geo Indices to each congregation using wage data compiled by the Economic Research Institute (ERI). Geo </w:t>
      </w:r>
    </w:p>
    <w:p w:rsidR="00000000" w:rsidDel="00000000" w:rsidP="00000000" w:rsidRDefault="00000000" w:rsidRPr="00000000" w14:paraId="00000004">
      <w:pPr>
        <w:spacing w:line="360" w:lineRule="auto"/>
        <w:ind w:left="-5"/>
        <w:contextualSpacing w:val="0"/>
        <w:rPr/>
      </w:pPr>
      <w:r w:rsidDel="00000000" w:rsidR="00000000" w:rsidRPr="00000000">
        <w:rPr>
          <w:rtl w:val="0"/>
        </w:rPr>
        <w:t xml:space="preserve">Index 3 represents wages near the national average. Geo Index 3 wages range from 97 to 102.9 percent of the national average. </w:t>
      </w:r>
    </w:p>
    <w:p w:rsidR="00000000" w:rsidDel="00000000" w:rsidP="00000000" w:rsidRDefault="00000000" w:rsidRPr="00000000" w14:paraId="00000005">
      <w:pPr>
        <w:spacing w:line="360" w:lineRule="auto"/>
        <w:ind w:left="-5"/>
        <w:contextualSpacing w:val="0"/>
        <w:rPr>
          <w:color w:val="000000"/>
        </w:rPr>
      </w:pPr>
      <w:r w:rsidDel="00000000" w:rsidR="00000000" w:rsidRPr="00000000">
        <w:rPr>
          <w:color w:val="000000"/>
          <w:highlight w:val="white"/>
          <w:rtl w:val="0"/>
        </w:rPr>
        <w:t xml:space="preserve"> (In the U.S., all seven Geo Indices are used because some locations have wage rates that exceed 115% of their national average. In Canada, wage disparity across locations is not as great, so Geo Indices 6 and 7 are not needed.)</w:t>
      </w:r>
      <w:r w:rsidDel="00000000" w:rsidR="00000000" w:rsidRPr="00000000">
        <w:rPr>
          <w:rtl w:val="0"/>
        </w:rPr>
      </w:r>
    </w:p>
    <w:p w:rsidR="00000000" w:rsidDel="00000000" w:rsidP="00000000" w:rsidRDefault="00000000" w:rsidRPr="00000000" w14:paraId="00000006">
      <w:pPr>
        <w:spacing w:line="360" w:lineRule="auto"/>
        <w:ind w:left="-5"/>
        <w:contextualSpacing w:val="0"/>
        <w:rPr/>
      </w:pPr>
      <w:r w:rsidDel="00000000" w:rsidR="00000000" w:rsidRPr="00000000">
        <w:rPr>
          <w:rtl w:val="0"/>
        </w:rPr>
      </w:r>
    </w:p>
    <w:p w:rsidR="00000000" w:rsidDel="00000000" w:rsidP="00000000" w:rsidRDefault="00000000" w:rsidRPr="00000000" w14:paraId="00000007">
      <w:pPr>
        <w:spacing w:line="360" w:lineRule="auto"/>
        <w:ind w:left="-5"/>
        <w:contextualSpacing w:val="0"/>
        <w:rPr/>
      </w:pPr>
      <w:r w:rsidDel="00000000" w:rsidR="00000000" w:rsidRPr="00000000">
        <w:rPr>
          <w:rtl w:val="0"/>
        </w:rPr>
        <w:t xml:space="preserve">Wage data in Canada is gathered in Canadian dollars and compared to the Canadian national average. </w:t>
      </w:r>
    </w:p>
    <w:p w:rsidR="00000000" w:rsidDel="00000000" w:rsidP="00000000" w:rsidRDefault="00000000" w:rsidRPr="00000000" w14:paraId="00000008">
      <w:pPr>
        <w:spacing w:after="125"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09">
      <w:pPr>
        <w:spacing w:after="123" w:lineRule="auto"/>
        <w:ind w:left="-5"/>
        <w:contextualSpacing w:val="0"/>
        <w:rPr/>
      </w:pPr>
      <w:r w:rsidDel="00000000" w:rsidR="00000000" w:rsidRPr="00000000">
        <w:rPr>
          <w:rtl w:val="0"/>
        </w:rPr>
        <w:t xml:space="preserve">The seven Geo Indices represent communities as follows:  </w:t>
      </w:r>
    </w:p>
    <w:p w:rsidR="00000000" w:rsidDel="00000000" w:rsidP="00000000" w:rsidRDefault="00000000" w:rsidRPr="00000000" w14:paraId="0000000A">
      <w:pPr>
        <w:spacing w:after="123" w:lineRule="auto"/>
        <w:ind w:left="-5"/>
        <w:contextualSpacing w:val="0"/>
        <w:rPr/>
      </w:pPr>
      <w:r w:rsidDel="00000000" w:rsidR="00000000" w:rsidRPr="00000000">
        <w:rPr>
          <w:rtl w:val="0"/>
        </w:rPr>
        <w:t xml:space="preserve">Geo Index 1: Average wages below 91 percent of the US average  Geo Index 5: Average wages between 109 and 114.9 percent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4330700</wp:posOffset>
                </wp:positionH>
                <wp:positionV relativeFrom="paragraph">
                  <wp:posOffset>-25399</wp:posOffset>
                </wp:positionV>
                <wp:extent cx="8890" cy="111569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890" cy="1115695"/>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margin">
                  <wp:posOffset>4330700</wp:posOffset>
                </wp:positionH>
                <wp:positionV relativeFrom="paragraph">
                  <wp:posOffset>-25399</wp:posOffset>
                </wp:positionV>
                <wp:extent cx="8890" cy="111569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890" cy="1115695"/>
                        </a:xfrm>
                        <a:prstGeom prst="rect"/>
                        <a:ln/>
                      </pic:spPr>
                    </pic:pic>
                  </a:graphicData>
                </a:graphic>
              </wp:anchor>
            </w:drawing>
          </mc:Fallback>
        </mc:AlternateContent>
      </w:r>
    </w:p>
    <w:p w:rsidR="00000000" w:rsidDel="00000000" w:rsidP="00000000" w:rsidRDefault="00000000" w:rsidRPr="00000000" w14:paraId="0000000B">
      <w:pPr>
        <w:spacing w:after="123" w:lineRule="auto"/>
        <w:ind w:left="-5"/>
        <w:contextualSpacing w:val="0"/>
        <w:rPr/>
      </w:pPr>
      <w:r w:rsidDel="00000000" w:rsidR="00000000" w:rsidRPr="00000000">
        <w:rPr>
          <w:rtl w:val="0"/>
        </w:rPr>
        <w:t xml:space="preserve">Geo Index 2: Average wages between 91 and 96.9 percent  Geo Index 6: Average wages between 115 and 120.9 percent  </w:t>
      </w:r>
    </w:p>
    <w:p w:rsidR="00000000" w:rsidDel="00000000" w:rsidP="00000000" w:rsidRDefault="00000000" w:rsidRPr="00000000" w14:paraId="0000000C">
      <w:pPr>
        <w:spacing w:line="360" w:lineRule="auto"/>
        <w:ind w:left="-5" w:right="1049"/>
        <w:contextualSpacing w:val="0"/>
        <w:rPr/>
      </w:pPr>
      <w:r w:rsidDel="00000000" w:rsidR="00000000" w:rsidRPr="00000000">
        <w:rPr>
          <w:rtl w:val="0"/>
        </w:rPr>
        <w:t xml:space="preserve">Geo Index 3: Average wages between 97 and 102.9 percent  Geo Index 7: Average wages exceeding 121 percent  Geo Index 4: Average wages between 103 and 108.9 percent  </w:t>
      </w:r>
    </w:p>
    <w:p w:rsidR="00000000" w:rsidDel="00000000" w:rsidP="00000000" w:rsidRDefault="00000000" w:rsidRPr="00000000" w14:paraId="0000000D">
      <w:pPr>
        <w:spacing w:after="123"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0E">
      <w:pPr>
        <w:spacing w:after="160" w:lineRule="auto"/>
        <w:ind w:left="0" w:firstLine="0"/>
        <w:contextualSpacing w:val="0"/>
        <w:rPr>
          <w:color w:val="2a2a2a"/>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77" w:line="360" w:lineRule="auto"/>
        <w:contextualSpacing w:val="0"/>
        <w:rPr/>
      </w:pPr>
      <w:r w:rsidDel="00000000" w:rsidR="00000000" w:rsidRPr="00000000">
        <w:rPr>
          <w:rtl w:val="0"/>
        </w:rPr>
      </w:r>
    </w:p>
    <w:p w:rsidR="00000000" w:rsidDel="00000000" w:rsidP="00000000" w:rsidRDefault="00000000" w:rsidRPr="00000000" w14:paraId="00000010">
      <w:pPr>
        <w:pStyle w:val="Heading1"/>
        <w:contextualSpacing w:val="0"/>
        <w:rPr>
          <w:b w:val="1"/>
        </w:rPr>
      </w:pPr>
      <w:r w:rsidDel="00000000" w:rsidR="00000000" w:rsidRPr="00000000">
        <w:rPr>
          <w:b w:val="1"/>
          <w:rtl w:val="0"/>
        </w:rPr>
        <w:t xml:space="preserve">2016 Geo Index Rankings </w:t>
      </w:r>
    </w:p>
    <w:p w:rsidR="00000000" w:rsidDel="00000000" w:rsidP="00000000" w:rsidRDefault="00000000" w:rsidRPr="00000000" w14:paraId="00000011">
      <w:pPr>
        <w:ind w:left="2280" w:firstLine="0"/>
        <w:contextualSpacing w:val="0"/>
        <w:rPr>
          <w:color w:val="2a2a2a"/>
        </w:rPr>
      </w:pPr>
      <w:r w:rsidDel="00000000" w:rsidR="00000000" w:rsidRPr="00000000">
        <w:rPr>
          <w:rtl w:val="0"/>
        </w:rPr>
      </w:r>
    </w:p>
    <w:tbl>
      <w:tblPr>
        <w:tblStyle w:val="Table1"/>
        <w:tblW w:w="14065.000000000002" w:type="dxa"/>
        <w:jc w:val="left"/>
        <w:tblInd w:w="-5.0" w:type="dxa"/>
        <w:tblLayout w:type="fixed"/>
        <w:tblLook w:val="0400"/>
      </w:tblPr>
      <w:tblGrid>
        <w:gridCol w:w="1399"/>
        <w:gridCol w:w="1578"/>
        <w:gridCol w:w="1307"/>
        <w:gridCol w:w="536"/>
        <w:gridCol w:w="1732"/>
        <w:gridCol w:w="1528"/>
        <w:gridCol w:w="1384"/>
        <w:gridCol w:w="400"/>
        <w:gridCol w:w="1335"/>
        <w:gridCol w:w="1559"/>
        <w:gridCol w:w="1307"/>
        <w:tblGridChange w:id="0">
          <w:tblGrid>
            <w:gridCol w:w="1399"/>
            <w:gridCol w:w="1578"/>
            <w:gridCol w:w="1307"/>
            <w:gridCol w:w="536"/>
            <w:gridCol w:w="1732"/>
            <w:gridCol w:w="1528"/>
            <w:gridCol w:w="1384"/>
            <w:gridCol w:w="400"/>
            <w:gridCol w:w="1335"/>
            <w:gridCol w:w="1559"/>
            <w:gridCol w:w="1307"/>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2">
            <w:pPr>
              <w:spacing w:line="240" w:lineRule="auto"/>
              <w:ind w:left="0" w:firstLine="0"/>
              <w:contextualSpacing w:val="0"/>
              <w:rPr>
                <w:b w:val="1"/>
                <w:color w:val="2a2a2a"/>
                <w:sz w:val="20"/>
                <w:szCs w:val="20"/>
              </w:rPr>
            </w:pPr>
            <w:r w:rsidDel="00000000" w:rsidR="00000000" w:rsidRPr="00000000">
              <w:rPr>
                <w:b w:val="1"/>
                <w:color w:val="2a2a2a"/>
                <w:sz w:val="20"/>
                <w:szCs w:val="20"/>
                <w:rtl w:val="0"/>
              </w:rPr>
              <w:t xml:space="preserve">City </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13">
            <w:pPr>
              <w:spacing w:line="240" w:lineRule="auto"/>
              <w:ind w:left="0" w:firstLine="0"/>
              <w:contextualSpacing w:val="0"/>
              <w:rPr>
                <w:b w:val="1"/>
                <w:color w:val="2a2a2a"/>
                <w:sz w:val="20"/>
                <w:szCs w:val="20"/>
              </w:rPr>
            </w:pPr>
            <w:r w:rsidDel="00000000" w:rsidR="00000000" w:rsidRPr="00000000">
              <w:rPr>
                <w:b w:val="1"/>
                <w:color w:val="2a2a2a"/>
                <w:sz w:val="20"/>
                <w:szCs w:val="20"/>
                <w:rtl w:val="0"/>
              </w:rPr>
              <w:t xml:space="preserve">Province</w:t>
            </w:r>
          </w:p>
        </w:tc>
        <w:tc>
          <w:tcPr>
            <w:tcBorders>
              <w:top w:color="000000" w:space="0" w:sz="4" w:val="single"/>
              <w:left w:color="000000" w:space="0" w:sz="0" w:val="nil"/>
              <w:bottom w:color="000000" w:space="0" w:sz="4" w:val="single"/>
              <w:right w:color="000000" w:space="0" w:sz="0" w:val="nil"/>
            </w:tcBorders>
            <w:shd w:fill="d9d9d9" w:val="clear"/>
            <w:vAlign w:val="bottom"/>
          </w:tcPr>
          <w:p w:rsidR="00000000" w:rsidDel="00000000" w:rsidP="00000000" w:rsidRDefault="00000000" w:rsidRPr="00000000" w14:paraId="00000014">
            <w:pPr>
              <w:spacing w:line="240" w:lineRule="auto"/>
              <w:ind w:left="0" w:firstLine="0"/>
              <w:contextualSpacing w:val="0"/>
              <w:rPr>
                <w:b w:val="1"/>
                <w:sz w:val="20"/>
                <w:szCs w:val="20"/>
              </w:rPr>
            </w:pPr>
            <w:r w:rsidDel="00000000" w:rsidR="00000000" w:rsidRPr="00000000">
              <w:rPr>
                <w:b w:val="1"/>
                <w:sz w:val="20"/>
                <w:szCs w:val="20"/>
                <w:rtl w:val="0"/>
              </w:rPr>
              <w:t xml:space="preserve">Classification</w:t>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15">
            <w:pPr>
              <w:spacing w:line="240" w:lineRule="auto"/>
              <w:ind w:left="0" w:firstLine="0"/>
              <w:contextualSpacing w:val="0"/>
              <w:rPr>
                <w:b w:val="1"/>
                <w:sz w:val="20"/>
                <w:szCs w:val="20"/>
              </w:rPr>
            </w:pPr>
            <w:r w:rsidDel="00000000" w:rsidR="00000000" w:rsidRPr="00000000">
              <w:rPr>
                <w:b w:val="1"/>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16">
            <w:pPr>
              <w:spacing w:line="240" w:lineRule="auto"/>
              <w:ind w:left="0" w:firstLine="0"/>
              <w:contextualSpacing w:val="0"/>
              <w:rPr>
                <w:b w:val="1"/>
                <w:color w:val="2a2a2a"/>
                <w:sz w:val="20"/>
                <w:szCs w:val="20"/>
              </w:rPr>
            </w:pPr>
            <w:r w:rsidDel="00000000" w:rsidR="00000000" w:rsidRPr="00000000">
              <w:rPr>
                <w:b w:val="1"/>
                <w:color w:val="2a2a2a"/>
                <w:sz w:val="20"/>
                <w:szCs w:val="20"/>
                <w:rtl w:val="0"/>
              </w:rPr>
              <w:t xml:space="preserve">City </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17">
            <w:pPr>
              <w:spacing w:line="240" w:lineRule="auto"/>
              <w:ind w:left="0" w:firstLine="0"/>
              <w:contextualSpacing w:val="0"/>
              <w:rPr>
                <w:b w:val="1"/>
                <w:color w:val="2a2a2a"/>
                <w:sz w:val="20"/>
                <w:szCs w:val="20"/>
              </w:rPr>
            </w:pPr>
            <w:r w:rsidDel="00000000" w:rsidR="00000000" w:rsidRPr="00000000">
              <w:rPr>
                <w:b w:val="1"/>
                <w:color w:val="2a2a2a"/>
                <w:sz w:val="20"/>
                <w:szCs w:val="20"/>
                <w:rtl w:val="0"/>
              </w:rPr>
              <w:t xml:space="preserve">Province</w:t>
            </w:r>
          </w:p>
        </w:tc>
        <w:tc>
          <w:tcPr>
            <w:tcBorders>
              <w:top w:color="000000" w:space="0" w:sz="4" w:val="single"/>
              <w:left w:color="000000" w:space="0" w:sz="0" w:val="nil"/>
              <w:bottom w:color="000000" w:space="0" w:sz="4" w:val="single"/>
              <w:right w:color="000000" w:space="0" w:sz="0" w:val="nil"/>
            </w:tcBorders>
            <w:shd w:fill="d9d9d9" w:val="clear"/>
            <w:vAlign w:val="bottom"/>
          </w:tcPr>
          <w:p w:rsidR="00000000" w:rsidDel="00000000" w:rsidP="00000000" w:rsidRDefault="00000000" w:rsidRPr="00000000" w14:paraId="00000018">
            <w:pPr>
              <w:spacing w:line="240" w:lineRule="auto"/>
              <w:ind w:left="0" w:firstLine="0"/>
              <w:contextualSpacing w:val="0"/>
              <w:rPr>
                <w:b w:val="1"/>
                <w:sz w:val="20"/>
                <w:szCs w:val="20"/>
              </w:rPr>
            </w:pPr>
            <w:r w:rsidDel="00000000" w:rsidR="00000000" w:rsidRPr="00000000">
              <w:rPr>
                <w:b w:val="1"/>
                <w:sz w:val="20"/>
                <w:szCs w:val="20"/>
                <w:rtl w:val="0"/>
              </w:rPr>
              <w:t xml:space="preserve">Classification</w:t>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19">
            <w:pPr>
              <w:spacing w:line="240" w:lineRule="auto"/>
              <w:ind w:left="0" w:firstLine="0"/>
              <w:contextualSpacing w:val="0"/>
              <w:rPr>
                <w:b w:val="1"/>
                <w:sz w:val="20"/>
                <w:szCs w:val="20"/>
              </w:rPr>
            </w:pPr>
            <w:r w:rsidDel="00000000" w:rsidR="00000000" w:rsidRPr="00000000">
              <w:rPr>
                <w:b w:val="1"/>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1A">
            <w:pPr>
              <w:spacing w:line="240" w:lineRule="auto"/>
              <w:ind w:left="0" w:firstLine="0"/>
              <w:contextualSpacing w:val="0"/>
              <w:rPr>
                <w:b w:val="1"/>
                <w:color w:val="2a2a2a"/>
                <w:sz w:val="20"/>
                <w:szCs w:val="20"/>
              </w:rPr>
            </w:pPr>
            <w:r w:rsidDel="00000000" w:rsidR="00000000" w:rsidRPr="00000000">
              <w:rPr>
                <w:b w:val="1"/>
                <w:color w:val="2a2a2a"/>
                <w:sz w:val="20"/>
                <w:szCs w:val="20"/>
                <w:rtl w:val="0"/>
              </w:rPr>
              <w:t xml:space="preserve">City </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1B">
            <w:pPr>
              <w:spacing w:line="240" w:lineRule="auto"/>
              <w:ind w:left="0" w:firstLine="0"/>
              <w:contextualSpacing w:val="0"/>
              <w:rPr>
                <w:b w:val="1"/>
                <w:color w:val="2a2a2a"/>
                <w:sz w:val="20"/>
                <w:szCs w:val="20"/>
              </w:rPr>
            </w:pPr>
            <w:r w:rsidDel="00000000" w:rsidR="00000000" w:rsidRPr="00000000">
              <w:rPr>
                <w:b w:val="1"/>
                <w:color w:val="2a2a2a"/>
                <w:sz w:val="20"/>
                <w:szCs w:val="20"/>
                <w:rtl w:val="0"/>
              </w:rPr>
              <w:t xml:space="preserve">Province</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1C">
            <w:pPr>
              <w:spacing w:line="240" w:lineRule="auto"/>
              <w:ind w:left="0" w:firstLine="0"/>
              <w:contextualSpacing w:val="0"/>
              <w:rPr>
                <w:b w:val="1"/>
                <w:sz w:val="20"/>
                <w:szCs w:val="20"/>
              </w:rPr>
            </w:pPr>
            <w:r w:rsidDel="00000000" w:rsidR="00000000" w:rsidRPr="00000000">
              <w:rPr>
                <w:b w:val="1"/>
                <w:sz w:val="20"/>
                <w:szCs w:val="20"/>
                <w:rtl w:val="0"/>
              </w:rPr>
              <w:t xml:space="preserve">Classification</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spacing w:line="240" w:lineRule="auto"/>
              <w:ind w:left="0" w:firstLine="0"/>
              <w:contextualSpacing w:val="0"/>
              <w:rPr>
                <w:sz w:val="20"/>
                <w:szCs w:val="20"/>
              </w:rPr>
            </w:pPr>
            <w:r w:rsidDel="00000000" w:rsidR="00000000" w:rsidRPr="00000000">
              <w:rPr>
                <w:sz w:val="20"/>
                <w:szCs w:val="20"/>
                <w:rtl w:val="0"/>
              </w:rPr>
              <w:t xml:space="preserve">Arborg</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E">
            <w:pPr>
              <w:spacing w:line="240" w:lineRule="auto"/>
              <w:ind w:left="0" w:firstLine="0"/>
              <w:contextualSpacing w:val="0"/>
              <w:rPr>
                <w:sz w:val="20"/>
                <w:szCs w:val="20"/>
              </w:rPr>
            </w:pPr>
            <w:r w:rsidDel="00000000" w:rsidR="00000000" w:rsidRPr="00000000">
              <w:rPr>
                <w:sz w:val="20"/>
                <w:szCs w:val="20"/>
                <w:rtl w:val="0"/>
              </w:rPr>
              <w:t xml:space="preserve">Manitoba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F">
            <w:pPr>
              <w:spacing w:line="240" w:lineRule="auto"/>
              <w:ind w:left="0" w:firstLine="0"/>
              <w:contextualSpacing w:val="0"/>
              <w:jc w:val="center"/>
              <w:rPr>
                <w:sz w:val="20"/>
                <w:szCs w:val="20"/>
              </w:rPr>
            </w:pPr>
            <w:r w:rsidDel="00000000" w:rsidR="00000000" w:rsidRPr="00000000">
              <w:rPr>
                <w:sz w:val="20"/>
                <w:szCs w:val="20"/>
                <w:rtl w:val="0"/>
              </w:rPr>
              <w:t xml:space="preserve">1</w:t>
            </w:r>
          </w:p>
        </w:tc>
        <w:tc>
          <w:tcPr>
            <w:vMerge w:val="restart"/>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20">
            <w:pPr>
              <w:spacing w:line="240" w:lineRule="auto"/>
              <w:ind w:left="0" w:firstLine="0"/>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1">
            <w:pPr>
              <w:spacing w:line="240" w:lineRule="auto"/>
              <w:ind w:left="0" w:firstLine="0"/>
              <w:contextualSpacing w:val="0"/>
              <w:rPr>
                <w:sz w:val="20"/>
                <w:szCs w:val="20"/>
              </w:rPr>
            </w:pPr>
            <w:r w:rsidDel="00000000" w:rsidR="00000000" w:rsidRPr="00000000">
              <w:rPr>
                <w:sz w:val="20"/>
                <w:szCs w:val="20"/>
                <w:rtl w:val="0"/>
              </w:rPr>
              <w:t xml:space="preserve">Kingston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2">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3">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restart"/>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24">
            <w:pPr>
              <w:spacing w:line="240" w:lineRule="auto"/>
              <w:ind w:left="0" w:firstLine="0"/>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5">
            <w:pPr>
              <w:spacing w:line="240" w:lineRule="auto"/>
              <w:ind w:left="0" w:firstLine="0"/>
              <w:contextualSpacing w:val="0"/>
              <w:rPr>
                <w:sz w:val="20"/>
                <w:szCs w:val="20"/>
              </w:rPr>
            </w:pPr>
            <w:r w:rsidDel="00000000" w:rsidR="00000000" w:rsidRPr="00000000">
              <w:rPr>
                <w:sz w:val="20"/>
                <w:szCs w:val="20"/>
                <w:rtl w:val="0"/>
              </w:rPr>
              <w:t xml:space="preserve">Saint John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6">
            <w:pPr>
              <w:spacing w:line="240" w:lineRule="auto"/>
              <w:ind w:left="0" w:firstLine="0"/>
              <w:contextualSpacing w:val="0"/>
              <w:rPr>
                <w:sz w:val="20"/>
                <w:szCs w:val="20"/>
              </w:rPr>
            </w:pPr>
            <w:r w:rsidDel="00000000" w:rsidR="00000000" w:rsidRPr="00000000">
              <w:rPr>
                <w:sz w:val="20"/>
                <w:szCs w:val="20"/>
                <w:rtl w:val="0"/>
              </w:rPr>
              <w:t xml:space="preserve">New Brunswick</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7">
            <w:pPr>
              <w:spacing w:line="240" w:lineRule="auto"/>
              <w:ind w:left="0" w:firstLine="0"/>
              <w:contextualSpacing w:val="0"/>
              <w:jc w:val="center"/>
              <w:rPr>
                <w:sz w:val="20"/>
                <w:szCs w:val="20"/>
              </w:rPr>
            </w:pPr>
            <w:r w:rsidDel="00000000" w:rsidR="00000000" w:rsidRPr="00000000">
              <w:rPr>
                <w:sz w:val="20"/>
                <w:szCs w:val="20"/>
                <w:rtl w:val="0"/>
              </w:rPr>
              <w:t xml:space="preserve">2</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spacing w:line="240" w:lineRule="auto"/>
              <w:ind w:left="0" w:firstLine="0"/>
              <w:contextualSpacing w:val="0"/>
              <w:rPr>
                <w:sz w:val="20"/>
                <w:szCs w:val="20"/>
              </w:rPr>
            </w:pPr>
            <w:r w:rsidDel="00000000" w:rsidR="00000000" w:rsidRPr="00000000">
              <w:rPr>
                <w:sz w:val="20"/>
                <w:szCs w:val="20"/>
                <w:rtl w:val="0"/>
              </w:rPr>
              <w:t xml:space="preserve">Barrie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9">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A">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C">
            <w:pPr>
              <w:spacing w:line="240" w:lineRule="auto"/>
              <w:ind w:left="0" w:firstLine="0"/>
              <w:contextualSpacing w:val="0"/>
              <w:rPr>
                <w:sz w:val="20"/>
                <w:szCs w:val="20"/>
              </w:rPr>
            </w:pPr>
            <w:r w:rsidDel="00000000" w:rsidR="00000000" w:rsidRPr="00000000">
              <w:rPr>
                <w:sz w:val="20"/>
                <w:szCs w:val="20"/>
                <w:rtl w:val="0"/>
              </w:rPr>
              <w:t xml:space="preserve">Kitchener-Waterloo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D">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E">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0">
            <w:pPr>
              <w:spacing w:line="240" w:lineRule="auto"/>
              <w:ind w:left="0" w:firstLine="0"/>
              <w:contextualSpacing w:val="0"/>
              <w:rPr>
                <w:sz w:val="20"/>
                <w:szCs w:val="20"/>
              </w:rPr>
            </w:pPr>
            <w:r w:rsidDel="00000000" w:rsidR="00000000" w:rsidRPr="00000000">
              <w:rPr>
                <w:sz w:val="20"/>
                <w:szCs w:val="20"/>
                <w:rtl w:val="0"/>
              </w:rPr>
              <w:t xml:space="preserve">Salt Spring Island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1">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2">
            <w:pPr>
              <w:spacing w:line="240" w:lineRule="auto"/>
              <w:ind w:left="0" w:firstLine="0"/>
              <w:contextualSpacing w:val="0"/>
              <w:jc w:val="center"/>
              <w:rPr>
                <w:sz w:val="20"/>
                <w:szCs w:val="20"/>
              </w:rPr>
            </w:pPr>
            <w:r w:rsidDel="00000000" w:rsidR="00000000" w:rsidRPr="00000000">
              <w:rPr>
                <w:sz w:val="20"/>
                <w:szCs w:val="20"/>
                <w:rtl w:val="0"/>
              </w:rPr>
              <w:t xml:space="preserve">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spacing w:line="240" w:lineRule="auto"/>
              <w:ind w:left="0" w:firstLine="0"/>
              <w:contextualSpacing w:val="0"/>
              <w:rPr>
                <w:sz w:val="20"/>
                <w:szCs w:val="20"/>
              </w:rPr>
            </w:pPr>
            <w:r w:rsidDel="00000000" w:rsidR="00000000" w:rsidRPr="00000000">
              <w:rPr>
                <w:sz w:val="20"/>
                <w:szCs w:val="20"/>
                <w:rtl w:val="0"/>
              </w:rPr>
              <w:t xml:space="preserve">Brooklin (Whitby)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4">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5">
            <w:pPr>
              <w:spacing w:line="240" w:lineRule="auto"/>
              <w:ind w:left="0" w:firstLine="0"/>
              <w:contextualSpacing w:val="0"/>
              <w:jc w:val="center"/>
              <w:rPr>
                <w:sz w:val="20"/>
                <w:szCs w:val="20"/>
              </w:rPr>
            </w:pPr>
            <w:r w:rsidDel="00000000" w:rsidR="00000000" w:rsidRPr="00000000">
              <w:rPr>
                <w:sz w:val="20"/>
                <w:szCs w:val="20"/>
                <w:rtl w:val="0"/>
              </w:rPr>
              <w:t xml:space="preserve">4</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line="240" w:lineRule="auto"/>
              <w:ind w:left="0" w:firstLine="0"/>
              <w:contextualSpacing w:val="0"/>
              <w:rPr>
                <w:sz w:val="20"/>
                <w:szCs w:val="20"/>
              </w:rPr>
            </w:pPr>
            <w:r w:rsidDel="00000000" w:rsidR="00000000" w:rsidRPr="00000000">
              <w:rPr>
                <w:sz w:val="20"/>
                <w:szCs w:val="20"/>
                <w:rtl w:val="0"/>
              </w:rPr>
              <w:t xml:space="preserve">Lachine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line="240" w:lineRule="auto"/>
              <w:ind w:left="0" w:firstLine="0"/>
              <w:contextualSpacing w:val="0"/>
              <w:rPr>
                <w:sz w:val="20"/>
                <w:szCs w:val="20"/>
              </w:rPr>
            </w:pPr>
            <w:r w:rsidDel="00000000" w:rsidR="00000000" w:rsidRPr="00000000">
              <w:rPr>
                <w:sz w:val="20"/>
                <w:szCs w:val="20"/>
                <w:rtl w:val="0"/>
              </w:rPr>
              <w:t xml:space="preserve">Quebec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9">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B">
            <w:pPr>
              <w:spacing w:line="240" w:lineRule="auto"/>
              <w:ind w:left="0" w:firstLine="0"/>
              <w:contextualSpacing w:val="0"/>
              <w:rPr>
                <w:sz w:val="20"/>
                <w:szCs w:val="20"/>
              </w:rPr>
            </w:pPr>
            <w:r w:rsidDel="00000000" w:rsidR="00000000" w:rsidRPr="00000000">
              <w:rPr>
                <w:sz w:val="20"/>
                <w:szCs w:val="20"/>
                <w:rtl w:val="0"/>
              </w:rPr>
              <w:t xml:space="preserve">Sarnia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C">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D">
            <w:pPr>
              <w:spacing w:line="240" w:lineRule="auto"/>
              <w:ind w:left="0" w:firstLine="0"/>
              <w:contextualSpacing w:val="0"/>
              <w:jc w:val="center"/>
              <w:rPr>
                <w:sz w:val="20"/>
                <w:szCs w:val="20"/>
              </w:rPr>
            </w:pPr>
            <w:r w:rsidDel="00000000" w:rsidR="00000000" w:rsidRPr="00000000">
              <w:rPr>
                <w:sz w:val="20"/>
                <w:szCs w:val="20"/>
                <w:rtl w:val="0"/>
              </w:rPr>
              <w:t xml:space="preserve">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line="240" w:lineRule="auto"/>
              <w:ind w:left="0" w:firstLine="0"/>
              <w:contextualSpacing w:val="0"/>
              <w:rPr>
                <w:sz w:val="20"/>
                <w:szCs w:val="20"/>
              </w:rPr>
            </w:pPr>
            <w:r w:rsidDel="00000000" w:rsidR="00000000" w:rsidRPr="00000000">
              <w:rPr>
                <w:sz w:val="20"/>
                <w:szCs w:val="20"/>
                <w:rtl w:val="0"/>
              </w:rPr>
              <w:t xml:space="preserve">Calgary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F">
            <w:pPr>
              <w:spacing w:line="240" w:lineRule="auto"/>
              <w:ind w:left="0" w:firstLine="0"/>
              <w:contextualSpacing w:val="0"/>
              <w:rPr>
                <w:sz w:val="20"/>
                <w:szCs w:val="20"/>
              </w:rPr>
            </w:pPr>
            <w:r w:rsidDel="00000000" w:rsidR="00000000" w:rsidRPr="00000000">
              <w:rPr>
                <w:sz w:val="20"/>
                <w:szCs w:val="20"/>
                <w:rtl w:val="0"/>
              </w:rPr>
              <w:t xml:space="preserve">Alberta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0">
            <w:pPr>
              <w:spacing w:line="240" w:lineRule="auto"/>
              <w:ind w:left="0" w:firstLine="0"/>
              <w:contextualSpacing w:val="0"/>
              <w:jc w:val="center"/>
              <w:rPr>
                <w:sz w:val="20"/>
                <w:szCs w:val="20"/>
              </w:rPr>
            </w:pPr>
            <w:r w:rsidDel="00000000" w:rsidR="00000000" w:rsidRPr="00000000">
              <w:rPr>
                <w:sz w:val="20"/>
                <w:szCs w:val="20"/>
                <w:rtl w:val="0"/>
              </w:rPr>
              <w:t xml:space="preserve">5</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2">
            <w:pPr>
              <w:spacing w:line="240" w:lineRule="auto"/>
              <w:ind w:left="0" w:firstLine="0"/>
              <w:contextualSpacing w:val="0"/>
              <w:rPr>
                <w:sz w:val="20"/>
                <w:szCs w:val="20"/>
              </w:rPr>
            </w:pPr>
            <w:r w:rsidDel="00000000" w:rsidR="00000000" w:rsidRPr="00000000">
              <w:rPr>
                <w:sz w:val="20"/>
                <w:szCs w:val="20"/>
                <w:rtl w:val="0"/>
              </w:rPr>
              <w:t xml:space="preserve">Lethbridge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3">
            <w:pPr>
              <w:spacing w:line="240" w:lineRule="auto"/>
              <w:ind w:left="0" w:firstLine="0"/>
              <w:contextualSpacing w:val="0"/>
              <w:rPr>
                <w:sz w:val="20"/>
                <w:szCs w:val="20"/>
              </w:rPr>
            </w:pPr>
            <w:r w:rsidDel="00000000" w:rsidR="00000000" w:rsidRPr="00000000">
              <w:rPr>
                <w:sz w:val="20"/>
                <w:szCs w:val="20"/>
                <w:rtl w:val="0"/>
              </w:rPr>
              <w:t xml:space="preserve">Alberta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4">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6">
            <w:pPr>
              <w:spacing w:line="240" w:lineRule="auto"/>
              <w:ind w:left="0" w:firstLine="0"/>
              <w:contextualSpacing w:val="0"/>
              <w:rPr>
                <w:sz w:val="20"/>
                <w:szCs w:val="20"/>
              </w:rPr>
            </w:pPr>
            <w:r w:rsidDel="00000000" w:rsidR="00000000" w:rsidRPr="00000000">
              <w:rPr>
                <w:sz w:val="20"/>
                <w:szCs w:val="20"/>
                <w:rtl w:val="0"/>
              </w:rPr>
              <w:t xml:space="preserve">Saskatoon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7">
            <w:pPr>
              <w:spacing w:line="240" w:lineRule="auto"/>
              <w:ind w:left="0" w:firstLine="0"/>
              <w:contextualSpacing w:val="0"/>
              <w:rPr>
                <w:sz w:val="20"/>
                <w:szCs w:val="20"/>
              </w:rPr>
            </w:pPr>
            <w:r w:rsidDel="00000000" w:rsidR="00000000" w:rsidRPr="00000000">
              <w:rPr>
                <w:sz w:val="20"/>
                <w:szCs w:val="20"/>
                <w:rtl w:val="0"/>
              </w:rPr>
              <w:t xml:space="preserve">Saskatchewan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8">
            <w:pPr>
              <w:spacing w:line="240" w:lineRule="auto"/>
              <w:ind w:left="0" w:firstLine="0"/>
              <w:contextualSpacing w:val="0"/>
              <w:jc w:val="center"/>
              <w:rPr>
                <w:sz w:val="20"/>
                <w:szCs w:val="20"/>
              </w:rPr>
            </w:pPr>
            <w:r w:rsidDel="00000000" w:rsidR="00000000" w:rsidRPr="00000000">
              <w:rPr>
                <w:sz w:val="20"/>
                <w:szCs w:val="20"/>
                <w:rtl w:val="0"/>
              </w:rPr>
              <w:t xml:space="preserve">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line="240" w:lineRule="auto"/>
              <w:ind w:left="0" w:firstLine="0"/>
              <w:contextualSpacing w:val="0"/>
              <w:rPr>
                <w:sz w:val="20"/>
                <w:szCs w:val="20"/>
              </w:rPr>
            </w:pPr>
            <w:r w:rsidDel="00000000" w:rsidR="00000000" w:rsidRPr="00000000">
              <w:rPr>
                <w:sz w:val="20"/>
                <w:szCs w:val="20"/>
                <w:rtl w:val="0"/>
              </w:rPr>
              <w:t xml:space="preserve">Charlottetown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A">
            <w:pPr>
              <w:spacing w:line="240" w:lineRule="auto"/>
              <w:ind w:left="0" w:firstLine="0"/>
              <w:contextualSpacing w:val="0"/>
              <w:rPr>
                <w:sz w:val="20"/>
                <w:szCs w:val="20"/>
              </w:rPr>
            </w:pPr>
            <w:r w:rsidDel="00000000" w:rsidR="00000000" w:rsidRPr="00000000">
              <w:rPr>
                <w:sz w:val="20"/>
                <w:szCs w:val="20"/>
                <w:rtl w:val="0"/>
              </w:rPr>
              <w:t xml:space="preserve">Prince Edward Island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B">
            <w:pPr>
              <w:spacing w:line="240" w:lineRule="auto"/>
              <w:ind w:left="0" w:firstLine="0"/>
              <w:contextualSpacing w:val="0"/>
              <w:jc w:val="center"/>
              <w:rPr>
                <w:sz w:val="20"/>
                <w:szCs w:val="20"/>
              </w:rPr>
            </w:pPr>
            <w:r w:rsidDel="00000000" w:rsidR="00000000" w:rsidRPr="00000000">
              <w:rPr>
                <w:sz w:val="20"/>
                <w:szCs w:val="20"/>
                <w:rtl w:val="0"/>
              </w:rPr>
              <w:t xml:space="preserve">2</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D">
            <w:pPr>
              <w:spacing w:line="240" w:lineRule="auto"/>
              <w:ind w:left="0" w:firstLine="0"/>
              <w:contextualSpacing w:val="0"/>
              <w:rPr>
                <w:sz w:val="20"/>
                <w:szCs w:val="20"/>
              </w:rPr>
            </w:pPr>
            <w:r w:rsidDel="00000000" w:rsidR="00000000" w:rsidRPr="00000000">
              <w:rPr>
                <w:sz w:val="20"/>
                <w:szCs w:val="20"/>
                <w:rtl w:val="0"/>
              </w:rPr>
              <w:t xml:space="preserve">London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E">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F">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1">
            <w:pPr>
              <w:spacing w:line="240" w:lineRule="auto"/>
              <w:ind w:left="0" w:firstLine="0"/>
              <w:contextualSpacing w:val="0"/>
              <w:rPr>
                <w:sz w:val="20"/>
                <w:szCs w:val="20"/>
              </w:rPr>
            </w:pPr>
            <w:r w:rsidDel="00000000" w:rsidR="00000000" w:rsidRPr="00000000">
              <w:rPr>
                <w:sz w:val="20"/>
                <w:szCs w:val="20"/>
                <w:rtl w:val="0"/>
              </w:rPr>
              <w:t xml:space="preserve">Stratford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2">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3">
            <w:pPr>
              <w:spacing w:line="240" w:lineRule="auto"/>
              <w:ind w:left="0" w:firstLine="0"/>
              <w:contextualSpacing w:val="0"/>
              <w:jc w:val="center"/>
              <w:rPr>
                <w:sz w:val="20"/>
                <w:szCs w:val="20"/>
              </w:rPr>
            </w:pPr>
            <w:r w:rsidDel="00000000" w:rsidR="00000000" w:rsidRPr="00000000">
              <w:rPr>
                <w:sz w:val="20"/>
                <w:szCs w:val="20"/>
                <w:rtl w:val="0"/>
              </w:rPr>
              <w:t xml:space="preserve">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line="240" w:lineRule="auto"/>
              <w:ind w:left="0" w:firstLine="0"/>
              <w:contextualSpacing w:val="0"/>
              <w:rPr>
                <w:sz w:val="20"/>
                <w:szCs w:val="20"/>
              </w:rPr>
            </w:pPr>
            <w:r w:rsidDel="00000000" w:rsidR="00000000" w:rsidRPr="00000000">
              <w:rPr>
                <w:sz w:val="20"/>
                <w:szCs w:val="20"/>
                <w:rtl w:val="0"/>
              </w:rPr>
              <w:t xml:space="preserve">Comox</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5">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6">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8">
            <w:pPr>
              <w:spacing w:line="240" w:lineRule="auto"/>
              <w:ind w:left="0" w:firstLine="0"/>
              <w:contextualSpacing w:val="0"/>
              <w:rPr>
                <w:sz w:val="20"/>
                <w:szCs w:val="20"/>
              </w:rPr>
            </w:pPr>
            <w:r w:rsidDel="00000000" w:rsidR="00000000" w:rsidRPr="00000000">
              <w:rPr>
                <w:sz w:val="20"/>
                <w:szCs w:val="20"/>
                <w:rtl w:val="0"/>
              </w:rPr>
              <w:t xml:space="preserve">Mississauga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9">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A">
            <w:pPr>
              <w:spacing w:line="240" w:lineRule="auto"/>
              <w:ind w:left="0" w:firstLine="0"/>
              <w:contextualSpacing w:val="0"/>
              <w:jc w:val="center"/>
              <w:rPr>
                <w:sz w:val="20"/>
                <w:szCs w:val="20"/>
              </w:rPr>
            </w:pPr>
            <w:r w:rsidDel="00000000" w:rsidR="00000000" w:rsidRPr="00000000">
              <w:rPr>
                <w:sz w:val="20"/>
                <w:szCs w:val="20"/>
                <w:rtl w:val="0"/>
              </w:rPr>
              <w:t xml:space="preserve">4</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C">
            <w:pPr>
              <w:spacing w:line="240" w:lineRule="auto"/>
              <w:ind w:left="0" w:firstLine="0"/>
              <w:contextualSpacing w:val="0"/>
              <w:rPr>
                <w:sz w:val="20"/>
                <w:szCs w:val="20"/>
              </w:rPr>
            </w:pPr>
            <w:r w:rsidDel="00000000" w:rsidR="00000000" w:rsidRPr="00000000">
              <w:rPr>
                <w:sz w:val="20"/>
                <w:szCs w:val="20"/>
                <w:rtl w:val="0"/>
              </w:rPr>
              <w:t xml:space="preserve">Surrey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D">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E">
            <w:pPr>
              <w:spacing w:line="240" w:lineRule="auto"/>
              <w:ind w:left="0" w:firstLine="0"/>
              <w:contextualSpacing w:val="0"/>
              <w:jc w:val="center"/>
              <w:rPr>
                <w:sz w:val="20"/>
                <w:szCs w:val="20"/>
              </w:rPr>
            </w:pPr>
            <w:r w:rsidDel="00000000" w:rsidR="00000000" w:rsidRPr="00000000">
              <w:rPr>
                <w:sz w:val="20"/>
                <w:szCs w:val="20"/>
                <w:rtl w:val="0"/>
              </w:rPr>
              <w:t xml:space="preserve">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spacing w:line="240" w:lineRule="auto"/>
              <w:ind w:left="0" w:firstLine="0"/>
              <w:contextualSpacing w:val="0"/>
              <w:rPr>
                <w:sz w:val="20"/>
                <w:szCs w:val="20"/>
              </w:rPr>
            </w:pPr>
            <w:r w:rsidDel="00000000" w:rsidR="00000000" w:rsidRPr="00000000">
              <w:rPr>
                <w:sz w:val="20"/>
                <w:szCs w:val="20"/>
                <w:rtl w:val="0"/>
              </w:rPr>
              <w:t xml:space="preserve">Don Mills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0">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1">
            <w:pPr>
              <w:spacing w:line="240" w:lineRule="auto"/>
              <w:ind w:left="0" w:firstLine="0"/>
              <w:contextualSpacing w:val="0"/>
              <w:jc w:val="center"/>
              <w:rPr>
                <w:sz w:val="20"/>
                <w:szCs w:val="20"/>
              </w:rPr>
            </w:pPr>
            <w:r w:rsidDel="00000000" w:rsidR="00000000" w:rsidRPr="00000000">
              <w:rPr>
                <w:sz w:val="20"/>
                <w:szCs w:val="20"/>
                <w:rtl w:val="0"/>
              </w:rPr>
              <w:t xml:space="preserve">4</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3">
            <w:pPr>
              <w:spacing w:line="240" w:lineRule="auto"/>
              <w:ind w:left="0" w:firstLine="0"/>
              <w:contextualSpacing w:val="0"/>
              <w:rPr>
                <w:sz w:val="20"/>
                <w:szCs w:val="20"/>
              </w:rPr>
            </w:pPr>
            <w:r w:rsidDel="00000000" w:rsidR="00000000" w:rsidRPr="00000000">
              <w:rPr>
                <w:sz w:val="20"/>
                <w:szCs w:val="20"/>
                <w:rtl w:val="0"/>
              </w:rPr>
              <w:t xml:space="preserve">Montreal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4">
            <w:pPr>
              <w:spacing w:line="240" w:lineRule="auto"/>
              <w:ind w:left="0" w:firstLine="0"/>
              <w:contextualSpacing w:val="0"/>
              <w:rPr>
                <w:sz w:val="20"/>
                <w:szCs w:val="20"/>
              </w:rPr>
            </w:pPr>
            <w:r w:rsidDel="00000000" w:rsidR="00000000" w:rsidRPr="00000000">
              <w:rPr>
                <w:sz w:val="20"/>
                <w:szCs w:val="20"/>
                <w:rtl w:val="0"/>
              </w:rPr>
              <w:t xml:space="preserve">Quebec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5">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7">
            <w:pPr>
              <w:spacing w:line="240" w:lineRule="auto"/>
              <w:ind w:left="0" w:firstLine="0"/>
              <w:contextualSpacing w:val="0"/>
              <w:rPr>
                <w:sz w:val="20"/>
                <w:szCs w:val="20"/>
              </w:rPr>
            </w:pPr>
            <w:r w:rsidDel="00000000" w:rsidR="00000000" w:rsidRPr="00000000">
              <w:rPr>
                <w:sz w:val="20"/>
                <w:szCs w:val="20"/>
                <w:rtl w:val="0"/>
              </w:rPr>
              <w:t xml:space="preserve">Thunder Bay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8">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9">
            <w:pPr>
              <w:spacing w:line="240" w:lineRule="auto"/>
              <w:ind w:left="0" w:firstLine="0"/>
              <w:contextualSpacing w:val="0"/>
              <w:jc w:val="center"/>
              <w:rPr>
                <w:sz w:val="20"/>
                <w:szCs w:val="20"/>
              </w:rPr>
            </w:pPr>
            <w:r w:rsidDel="00000000" w:rsidR="00000000" w:rsidRPr="00000000">
              <w:rPr>
                <w:sz w:val="20"/>
                <w:szCs w:val="20"/>
                <w:rtl w:val="0"/>
              </w:rPr>
              <w:t xml:space="preserve">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spacing w:line="240" w:lineRule="auto"/>
              <w:ind w:left="0" w:firstLine="0"/>
              <w:contextualSpacing w:val="0"/>
              <w:rPr>
                <w:sz w:val="20"/>
                <w:szCs w:val="20"/>
              </w:rPr>
            </w:pPr>
            <w:r w:rsidDel="00000000" w:rsidR="00000000" w:rsidRPr="00000000">
              <w:rPr>
                <w:sz w:val="20"/>
                <w:szCs w:val="20"/>
                <w:rtl w:val="0"/>
              </w:rPr>
              <w:t xml:space="preserve">Edmonton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B">
            <w:pPr>
              <w:spacing w:line="240" w:lineRule="auto"/>
              <w:ind w:left="0" w:firstLine="0"/>
              <w:contextualSpacing w:val="0"/>
              <w:rPr>
                <w:sz w:val="20"/>
                <w:szCs w:val="20"/>
              </w:rPr>
            </w:pPr>
            <w:r w:rsidDel="00000000" w:rsidR="00000000" w:rsidRPr="00000000">
              <w:rPr>
                <w:sz w:val="20"/>
                <w:szCs w:val="20"/>
                <w:rtl w:val="0"/>
              </w:rPr>
              <w:t xml:space="preserve">Alberta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C">
            <w:pPr>
              <w:spacing w:line="240" w:lineRule="auto"/>
              <w:ind w:left="0" w:firstLine="0"/>
              <w:contextualSpacing w:val="0"/>
              <w:jc w:val="center"/>
              <w:rPr>
                <w:sz w:val="20"/>
                <w:szCs w:val="20"/>
              </w:rPr>
            </w:pPr>
            <w:r w:rsidDel="00000000" w:rsidR="00000000" w:rsidRPr="00000000">
              <w:rPr>
                <w:sz w:val="20"/>
                <w:szCs w:val="20"/>
                <w:rtl w:val="0"/>
              </w:rPr>
              <w:t xml:space="preserve">4</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E">
            <w:pPr>
              <w:spacing w:line="240" w:lineRule="auto"/>
              <w:ind w:left="0" w:firstLine="0"/>
              <w:contextualSpacing w:val="0"/>
              <w:rPr>
                <w:sz w:val="20"/>
                <w:szCs w:val="20"/>
              </w:rPr>
            </w:pPr>
            <w:r w:rsidDel="00000000" w:rsidR="00000000" w:rsidRPr="00000000">
              <w:rPr>
                <w:sz w:val="20"/>
                <w:szCs w:val="20"/>
                <w:rtl w:val="0"/>
              </w:rPr>
              <w:t xml:space="preserve">Nanaimo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F">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0">
            <w:pPr>
              <w:spacing w:line="240" w:lineRule="auto"/>
              <w:ind w:left="0" w:firstLine="0"/>
              <w:contextualSpacing w:val="0"/>
              <w:jc w:val="center"/>
              <w:rPr>
                <w:sz w:val="20"/>
                <w:szCs w:val="20"/>
              </w:rPr>
            </w:pPr>
            <w:r w:rsidDel="00000000" w:rsidR="00000000" w:rsidRPr="00000000">
              <w:rPr>
                <w:sz w:val="20"/>
                <w:szCs w:val="20"/>
                <w:rtl w:val="0"/>
              </w:rPr>
              <w:t xml:space="preserve">4</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2">
            <w:pPr>
              <w:spacing w:line="240" w:lineRule="auto"/>
              <w:ind w:left="0" w:firstLine="0"/>
              <w:contextualSpacing w:val="0"/>
              <w:rPr>
                <w:sz w:val="20"/>
                <w:szCs w:val="20"/>
              </w:rPr>
            </w:pPr>
            <w:r w:rsidDel="00000000" w:rsidR="00000000" w:rsidRPr="00000000">
              <w:rPr>
                <w:sz w:val="20"/>
                <w:szCs w:val="20"/>
                <w:rtl w:val="0"/>
              </w:rPr>
              <w:t xml:space="preserve">Toronto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3">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4">
            <w:pPr>
              <w:spacing w:line="240" w:lineRule="auto"/>
              <w:ind w:left="0" w:firstLine="0"/>
              <w:contextualSpacing w:val="0"/>
              <w:jc w:val="center"/>
              <w:rPr>
                <w:sz w:val="20"/>
                <w:szCs w:val="20"/>
              </w:rPr>
            </w:pPr>
            <w:r w:rsidDel="00000000" w:rsidR="00000000" w:rsidRPr="00000000">
              <w:rPr>
                <w:sz w:val="20"/>
                <w:szCs w:val="20"/>
                <w:rtl w:val="0"/>
              </w:rPr>
              <w:t xml:space="preserve">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spacing w:line="240" w:lineRule="auto"/>
              <w:ind w:left="0" w:firstLine="0"/>
              <w:contextualSpacing w:val="0"/>
              <w:rPr>
                <w:sz w:val="20"/>
                <w:szCs w:val="20"/>
              </w:rPr>
            </w:pPr>
            <w:r w:rsidDel="00000000" w:rsidR="00000000" w:rsidRPr="00000000">
              <w:rPr>
                <w:sz w:val="20"/>
                <w:szCs w:val="20"/>
                <w:rtl w:val="0"/>
              </w:rPr>
              <w:t xml:space="preserve">Etobicoke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6">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7">
            <w:pPr>
              <w:spacing w:line="240" w:lineRule="auto"/>
              <w:ind w:left="0" w:firstLine="0"/>
              <w:contextualSpacing w:val="0"/>
              <w:jc w:val="center"/>
              <w:rPr>
                <w:sz w:val="20"/>
                <w:szCs w:val="20"/>
              </w:rPr>
            </w:pPr>
            <w:r w:rsidDel="00000000" w:rsidR="00000000" w:rsidRPr="00000000">
              <w:rPr>
                <w:sz w:val="20"/>
                <w:szCs w:val="20"/>
                <w:rtl w:val="0"/>
              </w:rPr>
              <w:t xml:space="preserve">4</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9">
            <w:pPr>
              <w:spacing w:line="240" w:lineRule="auto"/>
              <w:ind w:left="0" w:firstLine="0"/>
              <w:contextualSpacing w:val="0"/>
              <w:rPr>
                <w:sz w:val="20"/>
                <w:szCs w:val="20"/>
              </w:rPr>
            </w:pPr>
            <w:r w:rsidDel="00000000" w:rsidR="00000000" w:rsidRPr="00000000">
              <w:rPr>
                <w:sz w:val="20"/>
                <w:szCs w:val="20"/>
                <w:rtl w:val="0"/>
              </w:rPr>
              <w:t xml:space="preserve">New Westminster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A">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B">
            <w:pPr>
              <w:spacing w:line="240" w:lineRule="auto"/>
              <w:ind w:left="0" w:firstLine="0"/>
              <w:contextualSpacing w:val="0"/>
              <w:jc w:val="center"/>
              <w:rPr>
                <w:sz w:val="20"/>
                <w:szCs w:val="20"/>
              </w:rPr>
            </w:pPr>
            <w:r w:rsidDel="00000000" w:rsidR="00000000" w:rsidRPr="00000000">
              <w:rPr>
                <w:sz w:val="20"/>
                <w:szCs w:val="20"/>
                <w:rtl w:val="0"/>
              </w:rPr>
              <w:t xml:space="preserve">4</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D">
            <w:pPr>
              <w:spacing w:line="240" w:lineRule="auto"/>
              <w:ind w:left="0" w:firstLine="0"/>
              <w:contextualSpacing w:val="0"/>
              <w:rPr>
                <w:sz w:val="20"/>
                <w:szCs w:val="20"/>
              </w:rPr>
            </w:pPr>
            <w:r w:rsidDel="00000000" w:rsidR="00000000" w:rsidRPr="00000000">
              <w:rPr>
                <w:sz w:val="20"/>
                <w:szCs w:val="20"/>
                <w:rtl w:val="0"/>
              </w:rPr>
              <w:t xml:space="preserve">Vancouver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E">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F">
            <w:pPr>
              <w:spacing w:line="240" w:lineRule="auto"/>
              <w:ind w:left="0" w:firstLine="0"/>
              <w:contextualSpacing w:val="0"/>
              <w:jc w:val="center"/>
              <w:rPr>
                <w:sz w:val="20"/>
                <w:szCs w:val="20"/>
              </w:rPr>
            </w:pPr>
            <w:r w:rsidDel="00000000" w:rsidR="00000000" w:rsidRPr="00000000">
              <w:rPr>
                <w:sz w:val="20"/>
                <w:szCs w:val="20"/>
                <w:rtl w:val="0"/>
              </w:rPr>
              <w:t xml:space="preserve">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spacing w:line="240" w:lineRule="auto"/>
              <w:ind w:left="0" w:firstLine="0"/>
              <w:contextualSpacing w:val="0"/>
              <w:rPr>
                <w:sz w:val="20"/>
                <w:szCs w:val="20"/>
              </w:rPr>
            </w:pPr>
            <w:r w:rsidDel="00000000" w:rsidR="00000000" w:rsidRPr="00000000">
              <w:rPr>
                <w:sz w:val="20"/>
                <w:szCs w:val="20"/>
                <w:rtl w:val="0"/>
              </w:rPr>
              <w:t xml:space="preserve">Fergus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1">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2">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4">
            <w:pPr>
              <w:spacing w:line="240" w:lineRule="auto"/>
              <w:ind w:left="0" w:firstLine="0"/>
              <w:contextualSpacing w:val="0"/>
              <w:rPr>
                <w:sz w:val="20"/>
                <w:szCs w:val="20"/>
              </w:rPr>
            </w:pPr>
            <w:r w:rsidDel="00000000" w:rsidR="00000000" w:rsidRPr="00000000">
              <w:rPr>
                <w:sz w:val="20"/>
                <w:szCs w:val="20"/>
                <w:rtl w:val="0"/>
              </w:rPr>
              <w:t xml:space="preserve">Niagara Falls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5">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6">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8">
            <w:pPr>
              <w:spacing w:line="240" w:lineRule="auto"/>
              <w:ind w:left="0" w:firstLine="0"/>
              <w:contextualSpacing w:val="0"/>
              <w:rPr>
                <w:sz w:val="20"/>
                <w:szCs w:val="20"/>
              </w:rPr>
            </w:pPr>
            <w:r w:rsidDel="00000000" w:rsidR="00000000" w:rsidRPr="00000000">
              <w:rPr>
                <w:sz w:val="20"/>
                <w:szCs w:val="20"/>
                <w:rtl w:val="0"/>
              </w:rPr>
              <w:t xml:space="preserve">Victoria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9">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A">
            <w:pPr>
              <w:spacing w:line="240" w:lineRule="auto"/>
              <w:ind w:left="0" w:firstLine="0"/>
              <w:contextualSpacing w:val="0"/>
              <w:jc w:val="center"/>
              <w:rPr>
                <w:sz w:val="20"/>
                <w:szCs w:val="20"/>
              </w:rPr>
            </w:pPr>
            <w:r w:rsidDel="00000000" w:rsidR="00000000" w:rsidRPr="00000000">
              <w:rPr>
                <w:sz w:val="20"/>
                <w:szCs w:val="20"/>
                <w:rtl w:val="0"/>
              </w:rPr>
              <w:t xml:space="preserve">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spacing w:line="240" w:lineRule="auto"/>
              <w:ind w:left="0" w:firstLine="0"/>
              <w:contextualSpacing w:val="0"/>
              <w:rPr>
                <w:sz w:val="20"/>
                <w:szCs w:val="20"/>
              </w:rPr>
            </w:pPr>
            <w:r w:rsidDel="00000000" w:rsidR="00000000" w:rsidRPr="00000000">
              <w:rPr>
                <w:sz w:val="20"/>
                <w:szCs w:val="20"/>
                <w:rtl w:val="0"/>
              </w:rPr>
              <w:t xml:space="preserve">Fredericton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C">
            <w:pPr>
              <w:spacing w:line="240" w:lineRule="auto"/>
              <w:ind w:left="0" w:firstLine="0"/>
              <w:contextualSpacing w:val="0"/>
              <w:rPr>
                <w:sz w:val="20"/>
                <w:szCs w:val="20"/>
              </w:rPr>
            </w:pPr>
            <w:r w:rsidDel="00000000" w:rsidR="00000000" w:rsidRPr="00000000">
              <w:rPr>
                <w:sz w:val="20"/>
                <w:szCs w:val="20"/>
                <w:rtl w:val="0"/>
              </w:rPr>
              <w:t xml:space="preserve">New Brunswick</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D">
            <w:pPr>
              <w:spacing w:line="240" w:lineRule="auto"/>
              <w:ind w:left="0" w:firstLine="0"/>
              <w:contextualSpacing w:val="0"/>
              <w:jc w:val="center"/>
              <w:rPr>
                <w:sz w:val="20"/>
                <w:szCs w:val="20"/>
              </w:rPr>
            </w:pPr>
            <w:r w:rsidDel="00000000" w:rsidR="00000000" w:rsidRPr="00000000">
              <w:rPr>
                <w:sz w:val="20"/>
                <w:szCs w:val="20"/>
                <w:rtl w:val="0"/>
              </w:rPr>
              <w:t xml:space="preserve">2</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F">
            <w:pPr>
              <w:spacing w:line="240" w:lineRule="auto"/>
              <w:ind w:left="0" w:firstLine="0"/>
              <w:contextualSpacing w:val="0"/>
              <w:rPr>
                <w:sz w:val="20"/>
                <w:szCs w:val="20"/>
              </w:rPr>
            </w:pPr>
            <w:r w:rsidDel="00000000" w:rsidR="00000000" w:rsidRPr="00000000">
              <w:rPr>
                <w:sz w:val="20"/>
                <w:szCs w:val="20"/>
                <w:rtl w:val="0"/>
              </w:rPr>
              <w:t xml:space="preserve">North Hatley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0">
            <w:pPr>
              <w:spacing w:line="240" w:lineRule="auto"/>
              <w:ind w:left="0" w:firstLine="0"/>
              <w:contextualSpacing w:val="0"/>
              <w:rPr>
                <w:sz w:val="20"/>
                <w:szCs w:val="20"/>
              </w:rPr>
            </w:pPr>
            <w:r w:rsidDel="00000000" w:rsidR="00000000" w:rsidRPr="00000000">
              <w:rPr>
                <w:sz w:val="20"/>
                <w:szCs w:val="20"/>
                <w:rtl w:val="0"/>
              </w:rPr>
              <w:t xml:space="preserve">Quebec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1">
            <w:pPr>
              <w:spacing w:line="240" w:lineRule="auto"/>
              <w:ind w:left="0" w:firstLine="0"/>
              <w:contextualSpacing w:val="0"/>
              <w:jc w:val="center"/>
              <w:rPr>
                <w:sz w:val="20"/>
                <w:szCs w:val="20"/>
              </w:rPr>
            </w:pPr>
            <w:r w:rsidDel="00000000" w:rsidR="00000000" w:rsidRPr="00000000">
              <w:rPr>
                <w:sz w:val="20"/>
                <w:szCs w:val="20"/>
                <w:rtl w:val="0"/>
              </w:rPr>
              <w:t xml:space="preserve">2</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3">
            <w:pPr>
              <w:spacing w:line="240" w:lineRule="auto"/>
              <w:ind w:left="0" w:firstLine="0"/>
              <w:contextualSpacing w:val="0"/>
              <w:rPr>
                <w:sz w:val="20"/>
                <w:szCs w:val="20"/>
              </w:rPr>
            </w:pPr>
            <w:r w:rsidDel="00000000" w:rsidR="00000000" w:rsidRPr="00000000">
              <w:rPr>
                <w:sz w:val="20"/>
                <w:szCs w:val="20"/>
                <w:rtl w:val="0"/>
              </w:rPr>
              <w:t xml:space="preserve">West Vancouver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4">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5">
            <w:pPr>
              <w:spacing w:line="240" w:lineRule="auto"/>
              <w:ind w:left="0" w:firstLine="0"/>
              <w:contextualSpacing w:val="0"/>
              <w:jc w:val="center"/>
              <w:rPr>
                <w:sz w:val="20"/>
                <w:szCs w:val="20"/>
              </w:rPr>
            </w:pPr>
            <w:r w:rsidDel="00000000" w:rsidR="00000000" w:rsidRPr="00000000">
              <w:rPr>
                <w:sz w:val="20"/>
                <w:szCs w:val="20"/>
                <w:rtl w:val="0"/>
              </w:rPr>
              <w:t xml:space="preserve">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spacing w:line="240" w:lineRule="auto"/>
              <w:ind w:left="0" w:firstLine="0"/>
              <w:contextualSpacing w:val="0"/>
              <w:rPr>
                <w:sz w:val="20"/>
                <w:szCs w:val="20"/>
              </w:rPr>
            </w:pPr>
            <w:r w:rsidDel="00000000" w:rsidR="00000000" w:rsidRPr="00000000">
              <w:rPr>
                <w:sz w:val="20"/>
                <w:szCs w:val="20"/>
                <w:rtl w:val="0"/>
              </w:rPr>
              <w:t xml:space="preserve">Guelph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7">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8">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A">
            <w:pPr>
              <w:spacing w:line="240" w:lineRule="auto"/>
              <w:ind w:left="0" w:firstLine="0"/>
              <w:contextualSpacing w:val="0"/>
              <w:rPr>
                <w:sz w:val="20"/>
                <w:szCs w:val="20"/>
              </w:rPr>
            </w:pPr>
            <w:r w:rsidDel="00000000" w:rsidR="00000000" w:rsidRPr="00000000">
              <w:rPr>
                <w:sz w:val="20"/>
                <w:szCs w:val="20"/>
                <w:rtl w:val="0"/>
              </w:rPr>
              <w:t xml:space="preserve">Olinda (Leamington)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B">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C">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E">
            <w:pPr>
              <w:spacing w:line="240" w:lineRule="auto"/>
              <w:ind w:left="0" w:firstLine="0"/>
              <w:contextualSpacing w:val="0"/>
              <w:rPr>
                <w:sz w:val="20"/>
                <w:szCs w:val="20"/>
              </w:rPr>
            </w:pPr>
            <w:r w:rsidDel="00000000" w:rsidR="00000000" w:rsidRPr="00000000">
              <w:rPr>
                <w:sz w:val="20"/>
                <w:szCs w:val="20"/>
                <w:rtl w:val="0"/>
              </w:rPr>
              <w:t xml:space="preserve">Winnipeg</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F">
            <w:pPr>
              <w:spacing w:line="240" w:lineRule="auto"/>
              <w:ind w:left="0" w:firstLine="0"/>
              <w:contextualSpacing w:val="0"/>
              <w:rPr>
                <w:sz w:val="20"/>
                <w:szCs w:val="20"/>
              </w:rPr>
            </w:pPr>
            <w:r w:rsidDel="00000000" w:rsidR="00000000" w:rsidRPr="00000000">
              <w:rPr>
                <w:sz w:val="20"/>
                <w:szCs w:val="20"/>
                <w:rtl w:val="0"/>
              </w:rPr>
              <w:t xml:space="preserve">Manitoba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0">
            <w:pPr>
              <w:spacing w:line="240" w:lineRule="auto"/>
              <w:ind w:left="0" w:firstLine="0"/>
              <w:contextualSpacing w:val="0"/>
              <w:jc w:val="center"/>
              <w:rPr>
                <w:sz w:val="20"/>
                <w:szCs w:val="20"/>
              </w:rPr>
            </w:pPr>
            <w:r w:rsidDel="00000000" w:rsidR="00000000" w:rsidRPr="00000000">
              <w:rPr>
                <w:sz w:val="20"/>
                <w:szCs w:val="20"/>
                <w:rtl w:val="0"/>
              </w:rPr>
              <w:t xml:space="preserve">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spacing w:line="240" w:lineRule="auto"/>
              <w:ind w:left="0" w:firstLine="0"/>
              <w:contextualSpacing w:val="0"/>
              <w:rPr>
                <w:sz w:val="20"/>
                <w:szCs w:val="20"/>
              </w:rPr>
            </w:pPr>
            <w:r w:rsidDel="00000000" w:rsidR="00000000" w:rsidRPr="00000000">
              <w:rPr>
                <w:sz w:val="20"/>
                <w:szCs w:val="20"/>
                <w:rtl w:val="0"/>
              </w:rPr>
              <w:t xml:space="preserve">Halifax</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2">
            <w:pPr>
              <w:spacing w:line="240" w:lineRule="auto"/>
              <w:ind w:left="0" w:firstLine="0"/>
              <w:contextualSpacing w:val="0"/>
              <w:rPr>
                <w:sz w:val="20"/>
                <w:szCs w:val="20"/>
              </w:rPr>
            </w:pPr>
            <w:r w:rsidDel="00000000" w:rsidR="00000000" w:rsidRPr="00000000">
              <w:rPr>
                <w:sz w:val="20"/>
                <w:szCs w:val="20"/>
                <w:rtl w:val="0"/>
              </w:rPr>
              <w:t xml:space="preserve">Nova Scotia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3">
            <w:pPr>
              <w:spacing w:line="240" w:lineRule="auto"/>
              <w:ind w:left="0" w:firstLine="0"/>
              <w:contextualSpacing w:val="0"/>
              <w:jc w:val="center"/>
              <w:rPr>
                <w:sz w:val="20"/>
                <w:szCs w:val="20"/>
              </w:rPr>
            </w:pPr>
            <w:r w:rsidDel="00000000" w:rsidR="00000000" w:rsidRPr="00000000">
              <w:rPr>
                <w:sz w:val="20"/>
                <w:szCs w:val="20"/>
                <w:rtl w:val="0"/>
              </w:rPr>
              <w:t xml:space="preserve">2</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5">
            <w:pPr>
              <w:spacing w:line="240" w:lineRule="auto"/>
              <w:ind w:left="0" w:firstLine="0"/>
              <w:contextualSpacing w:val="0"/>
              <w:rPr>
                <w:sz w:val="20"/>
                <w:szCs w:val="20"/>
              </w:rPr>
            </w:pPr>
            <w:r w:rsidDel="00000000" w:rsidR="00000000" w:rsidRPr="00000000">
              <w:rPr>
                <w:sz w:val="20"/>
                <w:szCs w:val="20"/>
                <w:rtl w:val="0"/>
              </w:rPr>
              <w:t xml:space="preserve">Ottawa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6">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7">
            <w:pPr>
              <w:spacing w:line="240" w:lineRule="auto"/>
              <w:ind w:left="0" w:firstLine="0"/>
              <w:contextualSpacing w:val="0"/>
              <w:jc w:val="center"/>
              <w:rPr>
                <w:sz w:val="20"/>
                <w:szCs w:val="20"/>
              </w:rPr>
            </w:pPr>
            <w:r w:rsidDel="00000000" w:rsidR="00000000" w:rsidRPr="00000000">
              <w:rPr>
                <w:sz w:val="20"/>
                <w:szCs w:val="20"/>
                <w:rtl w:val="0"/>
              </w:rPr>
              <w:t xml:space="preserve">4</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9">
            <w:pPr>
              <w:spacing w:line="240" w:lineRule="auto"/>
              <w:ind w:left="0" w:firstLine="0"/>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A">
            <w:pPr>
              <w:spacing w:line="240" w:lineRule="auto"/>
              <w:ind w:left="0" w:firstLine="0"/>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B">
            <w:pPr>
              <w:spacing w:line="240" w:lineRule="auto"/>
              <w:ind w:left="0" w:firstLine="0"/>
              <w:contextualSpacing w:val="0"/>
              <w:jc w:val="center"/>
              <w:rPr>
                <w:sz w:val="20"/>
                <w:szCs w:val="2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spacing w:line="240" w:lineRule="auto"/>
              <w:ind w:left="0" w:firstLine="0"/>
              <w:contextualSpacing w:val="0"/>
              <w:rPr>
                <w:sz w:val="20"/>
                <w:szCs w:val="20"/>
              </w:rPr>
            </w:pPr>
            <w:r w:rsidDel="00000000" w:rsidR="00000000" w:rsidRPr="00000000">
              <w:rPr>
                <w:sz w:val="20"/>
                <w:szCs w:val="20"/>
                <w:rtl w:val="0"/>
              </w:rPr>
              <w:t xml:space="preserve">Hamilton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D">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E">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0">
            <w:pPr>
              <w:spacing w:line="240" w:lineRule="auto"/>
              <w:ind w:left="0" w:firstLine="0"/>
              <w:contextualSpacing w:val="0"/>
              <w:rPr>
                <w:sz w:val="20"/>
                <w:szCs w:val="20"/>
              </w:rPr>
            </w:pPr>
            <w:r w:rsidDel="00000000" w:rsidR="00000000" w:rsidRPr="00000000">
              <w:rPr>
                <w:sz w:val="20"/>
                <w:szCs w:val="20"/>
                <w:rtl w:val="0"/>
              </w:rPr>
              <w:t xml:space="preserve">Owen Sound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1">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2">
            <w:pPr>
              <w:spacing w:line="240" w:lineRule="auto"/>
              <w:ind w:left="0" w:firstLine="0"/>
              <w:contextualSpacing w:val="0"/>
              <w:jc w:val="center"/>
              <w:rPr>
                <w:sz w:val="20"/>
                <w:szCs w:val="20"/>
              </w:rPr>
            </w:pPr>
            <w:r w:rsidDel="00000000" w:rsidR="00000000" w:rsidRPr="00000000">
              <w:rPr>
                <w:sz w:val="20"/>
                <w:szCs w:val="20"/>
                <w:rtl w:val="0"/>
              </w:rPr>
              <w:t xml:space="preserve">2</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spacing w:line="240" w:lineRule="auto"/>
              <w:ind w:left="0" w:firstLine="0"/>
              <w:contextualSpacing w:val="0"/>
              <w:rPr>
                <w:sz w:val="20"/>
                <w:szCs w:val="20"/>
              </w:rPr>
            </w:pPr>
            <w:r w:rsidDel="00000000" w:rsidR="00000000" w:rsidRPr="00000000">
              <w:rPr>
                <w:sz w:val="20"/>
                <w:szCs w:val="20"/>
                <w:rtl w:val="0"/>
              </w:rPr>
              <w:t xml:space="preserve">Kamloops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5">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6">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8">
            <w:pPr>
              <w:spacing w:line="240" w:lineRule="auto"/>
              <w:ind w:left="0" w:firstLine="0"/>
              <w:contextualSpacing w:val="0"/>
              <w:rPr>
                <w:sz w:val="20"/>
                <w:szCs w:val="20"/>
              </w:rPr>
            </w:pPr>
            <w:r w:rsidDel="00000000" w:rsidR="00000000" w:rsidRPr="00000000">
              <w:rPr>
                <w:sz w:val="20"/>
                <w:szCs w:val="20"/>
                <w:rtl w:val="0"/>
              </w:rPr>
              <w:t xml:space="preserve">Peterborough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9">
            <w:pPr>
              <w:spacing w:line="240" w:lineRule="auto"/>
              <w:ind w:left="0" w:firstLine="0"/>
              <w:contextualSpacing w:val="0"/>
              <w:rPr>
                <w:sz w:val="20"/>
                <w:szCs w:val="20"/>
              </w:rPr>
            </w:pPr>
            <w:r w:rsidDel="00000000" w:rsidR="00000000" w:rsidRPr="00000000">
              <w:rPr>
                <w:sz w:val="20"/>
                <w:szCs w:val="20"/>
                <w:rtl w:val="0"/>
              </w:rPr>
              <w:t xml:space="preserve">Ontario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A">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spacing w:line="240" w:lineRule="auto"/>
              <w:ind w:left="0" w:firstLine="0"/>
              <w:contextualSpacing w:val="0"/>
              <w:rPr>
                <w:sz w:val="20"/>
                <w:szCs w:val="20"/>
              </w:rPr>
            </w:pPr>
            <w:r w:rsidDel="00000000" w:rsidR="00000000" w:rsidRPr="00000000">
              <w:rPr>
                <w:sz w:val="20"/>
                <w:szCs w:val="20"/>
                <w:rtl w:val="0"/>
              </w:rPr>
              <w:t xml:space="preserve">Kelowna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D">
            <w:pPr>
              <w:spacing w:line="240" w:lineRule="auto"/>
              <w:ind w:left="0" w:firstLine="0"/>
              <w:contextualSpacing w:val="0"/>
              <w:rPr>
                <w:sz w:val="20"/>
                <w:szCs w:val="20"/>
              </w:rPr>
            </w:pPr>
            <w:r w:rsidDel="00000000" w:rsidR="00000000" w:rsidRPr="00000000">
              <w:rPr>
                <w:sz w:val="20"/>
                <w:szCs w:val="20"/>
                <w:rtl w:val="0"/>
              </w:rPr>
              <w:t xml:space="preserve">British Columbia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E">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0">
            <w:pPr>
              <w:spacing w:line="240" w:lineRule="auto"/>
              <w:ind w:left="0" w:firstLine="0"/>
              <w:contextualSpacing w:val="0"/>
              <w:rPr>
                <w:sz w:val="20"/>
                <w:szCs w:val="20"/>
              </w:rPr>
            </w:pPr>
            <w:r w:rsidDel="00000000" w:rsidR="00000000" w:rsidRPr="00000000">
              <w:rPr>
                <w:sz w:val="20"/>
                <w:szCs w:val="20"/>
                <w:rtl w:val="0"/>
              </w:rPr>
              <w:t xml:space="preserve">Red Deer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1">
            <w:pPr>
              <w:spacing w:line="240" w:lineRule="auto"/>
              <w:ind w:left="0" w:firstLine="0"/>
              <w:contextualSpacing w:val="0"/>
              <w:rPr>
                <w:sz w:val="20"/>
                <w:szCs w:val="20"/>
              </w:rPr>
            </w:pPr>
            <w:r w:rsidDel="00000000" w:rsidR="00000000" w:rsidRPr="00000000">
              <w:rPr>
                <w:sz w:val="20"/>
                <w:szCs w:val="20"/>
                <w:rtl w:val="0"/>
              </w:rPr>
              <w:t xml:space="preserve">Alberta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2">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vMerge w:val="continue"/>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spacing w:line="240" w:lineRule="auto"/>
              <w:ind w:left="0" w:firstLine="0"/>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5">
            <w:pPr>
              <w:spacing w:line="240" w:lineRule="auto"/>
              <w:ind w:left="0" w:firstLine="0"/>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6">
            <w:pPr>
              <w:spacing w:line="240" w:lineRule="auto"/>
              <w:ind w:left="0"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C7">
            <w:pPr>
              <w:spacing w:line="240" w:lineRule="auto"/>
              <w:ind w:left="0" w:firstLine="0"/>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8">
            <w:pPr>
              <w:spacing w:line="240" w:lineRule="auto"/>
              <w:ind w:left="0" w:firstLine="0"/>
              <w:contextualSpacing w:val="0"/>
              <w:rPr>
                <w:sz w:val="20"/>
                <w:szCs w:val="20"/>
              </w:rPr>
            </w:pPr>
            <w:r w:rsidDel="00000000" w:rsidR="00000000" w:rsidRPr="00000000">
              <w:rPr>
                <w:sz w:val="20"/>
                <w:szCs w:val="20"/>
                <w:rtl w:val="0"/>
              </w:rPr>
              <w:t xml:space="preserve">Regina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9">
            <w:pPr>
              <w:spacing w:line="240" w:lineRule="auto"/>
              <w:ind w:left="0" w:firstLine="0"/>
              <w:contextualSpacing w:val="0"/>
              <w:rPr>
                <w:sz w:val="20"/>
                <w:szCs w:val="20"/>
              </w:rPr>
            </w:pPr>
            <w:r w:rsidDel="00000000" w:rsidR="00000000" w:rsidRPr="00000000">
              <w:rPr>
                <w:sz w:val="20"/>
                <w:szCs w:val="20"/>
                <w:rtl w:val="0"/>
              </w:rPr>
              <w:t xml:space="preserve">Saskatchewan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A">
            <w:pPr>
              <w:spacing w:line="240" w:lineRule="auto"/>
              <w:ind w:left="0" w:firstLine="0"/>
              <w:contextualSpacing w:val="0"/>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B">
            <w:pPr>
              <w:spacing w:line="240" w:lineRule="auto"/>
              <w:ind w:left="0"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line="240" w:lineRule="auto"/>
              <w:ind w:left="0" w:firstLine="0"/>
              <w:contextualSpacing w:val="0"/>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CF">
      <w:pPr>
        <w:spacing w:after="160" w:lineRule="auto"/>
        <w:ind w:left="0" w:firstLine="0"/>
        <w:contextualSpacing w:val="0"/>
        <w:rPr>
          <w:color w:val="2a2a2a"/>
        </w:rPr>
      </w:pPr>
      <w:bookmarkStart w:colFirst="0" w:colLast="0" w:name="_gjdgxs" w:id="0"/>
      <w:bookmarkEnd w:id="0"/>
      <w:r w:rsidDel="00000000" w:rsidR="00000000" w:rsidRPr="00000000">
        <w:rPr>
          <w:rtl w:val="0"/>
        </w:rPr>
      </w:r>
    </w:p>
    <w:sectPr>
      <w:pgSz w:h="12240" w:w="15840"/>
      <w:pgMar w:bottom="1829" w:top="783" w:left="1080" w:right="12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spacing w:line="25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27" w:right="0" w:hanging="10"/>
      <w:contextualSpacing w:val="0"/>
      <w:jc w:val="center"/>
    </w:pPr>
    <w:rPr>
      <w:rFonts w:ascii="Calibri" w:cs="Calibri" w:eastAsia="Calibri" w:hAnsi="Calibri"/>
      <w:b w:val="0"/>
      <w:i w:val="0"/>
      <w:smallCaps w:val="0"/>
      <w:strike w:val="0"/>
      <w:color w:val="2a2a2a"/>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